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left"/>
        <w:textAlignment w:val="auto"/>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附件1</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小标宋简体" w:eastAsia="方正小标宋简体"/>
          <w:sz w:val="44"/>
          <w:szCs w:val="4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720" w:lineRule="exact"/>
        <w:jc w:val="center"/>
        <w:textAlignment w:val="auto"/>
        <w:rPr>
          <w:rFonts w:hint="eastAsia" w:ascii="方正小标宋简体" w:eastAsia="方正小标宋简体"/>
          <w:sz w:val="44"/>
          <w:szCs w:val="44"/>
          <w:highlight w:val="none"/>
          <w:lang w:val="en-US" w:eastAsia="zh-CN"/>
        </w:rPr>
      </w:pPr>
      <w:r>
        <w:rPr>
          <w:rFonts w:hint="eastAsia" w:ascii="方正小标宋简体" w:eastAsia="方正小标宋简体"/>
          <w:sz w:val="44"/>
          <w:szCs w:val="44"/>
          <w:highlight w:val="none"/>
          <w:lang w:val="en-US" w:eastAsia="zh-CN"/>
        </w:rPr>
        <w:t>中小企业发展专项资金（中小企业数字化</w:t>
      </w:r>
    </w:p>
    <w:p>
      <w:pPr>
        <w:keepNext w:val="0"/>
        <w:keepLines w:val="0"/>
        <w:pageBreakBefore w:val="0"/>
        <w:widowControl w:val="0"/>
        <w:numPr>
          <w:ilvl w:val="0"/>
          <w:numId w:val="0"/>
        </w:numPr>
        <w:kinsoku/>
        <w:wordWrap/>
        <w:overflowPunct/>
        <w:topLinePunct w:val="0"/>
        <w:autoSpaceDE/>
        <w:autoSpaceDN/>
        <w:bidi w:val="0"/>
        <w:adjustRightInd/>
        <w:snapToGrid/>
        <w:spacing w:line="720" w:lineRule="exact"/>
        <w:jc w:val="center"/>
        <w:textAlignment w:val="auto"/>
        <w:rPr>
          <w:rFonts w:hint="eastAsia" w:ascii="方正小标宋简体" w:eastAsia="方正小标宋简体"/>
          <w:sz w:val="44"/>
          <w:szCs w:val="44"/>
          <w:highlight w:val="none"/>
          <w:lang w:val="en-US" w:eastAsia="zh-CN"/>
        </w:rPr>
      </w:pPr>
      <w:r>
        <w:rPr>
          <w:rFonts w:hint="eastAsia" w:ascii="方正小标宋简体" w:eastAsia="方正小标宋简体"/>
          <w:sz w:val="44"/>
          <w:szCs w:val="44"/>
          <w:highlight w:val="none"/>
          <w:lang w:val="en-US" w:eastAsia="zh-CN"/>
        </w:rPr>
        <w:t>转型方向）优秀成果案例申报指南</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rPr>
          <w:rFonts w:hint="default" w:ascii="方正小标宋简体" w:eastAsia="方正小标宋简体"/>
          <w:sz w:val="44"/>
          <w:szCs w:val="44"/>
          <w:highlight w:val="none"/>
          <w:lang w:val="en-US" w:eastAsia="zh-CN"/>
        </w:rPr>
      </w:pP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依据《</w:t>
      </w:r>
      <w:r>
        <w:rPr>
          <w:rFonts w:hint="default" w:ascii="Times New Roman" w:hAnsi="Times New Roman" w:eastAsia="仿宋_GB2312" w:cs="Times New Roman"/>
          <w:color w:val="auto"/>
          <w:sz w:val="32"/>
          <w:szCs w:val="32"/>
          <w:highlight w:val="none"/>
          <w:lang w:val="en-US" w:eastAsia="zh-CN"/>
        </w:rPr>
        <w:t>大连市中小企业数字化转型试点城市中央补贴资金使用实施细则</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大工信发</w:t>
      </w:r>
      <w:r>
        <w:rPr>
          <w:rFonts w:hint="default" w:ascii="Times New Roman" w:hAnsi="Times New Roman" w:eastAsia="仿宋_GB2312" w:cs="Times New Roman"/>
          <w:i w:val="0"/>
          <w:iCs w:val="0"/>
          <w:caps w:val="0"/>
          <w:color w:val="000000"/>
          <w:spacing w:val="0"/>
          <w:sz w:val="32"/>
          <w:szCs w:val="32"/>
          <w:highlight w:val="none"/>
          <w:shd w:val="clear" w:color="auto" w:fill="FFFFFF"/>
          <w:lang w:val="en-US" w:eastAsia="zh-CN"/>
        </w:rPr>
        <w:t>〔202</w:t>
      </w:r>
      <w:r>
        <w:rPr>
          <w:rFonts w:hint="eastAsia" w:ascii="Times New Roman" w:hAnsi="Times New Roman" w:eastAsia="仿宋_GB2312" w:cs="Times New Roman"/>
          <w:i w:val="0"/>
          <w:iCs w:val="0"/>
          <w:caps w:val="0"/>
          <w:color w:val="000000"/>
          <w:spacing w:val="0"/>
          <w:sz w:val="32"/>
          <w:szCs w:val="32"/>
          <w:highlight w:val="none"/>
          <w:shd w:val="clear" w:color="auto" w:fill="FFFFFF"/>
          <w:lang w:val="en-US" w:eastAsia="zh-CN"/>
        </w:rPr>
        <w:t>5</w:t>
      </w:r>
      <w:r>
        <w:rPr>
          <w:rFonts w:hint="default" w:ascii="Times New Roman" w:hAnsi="Times New Roman" w:eastAsia="仿宋_GB2312" w:cs="Times New Roman"/>
          <w:i w:val="0"/>
          <w:iCs w:val="0"/>
          <w:caps w:val="0"/>
          <w:color w:val="000000"/>
          <w:spacing w:val="0"/>
          <w:sz w:val="32"/>
          <w:szCs w:val="32"/>
          <w:highlight w:val="none"/>
          <w:shd w:val="clear" w:color="auto" w:fill="FFFFFF"/>
          <w:lang w:val="en-US" w:eastAsia="zh-CN"/>
        </w:rPr>
        <w:t>〕11</w:t>
      </w:r>
      <w:r>
        <w:rPr>
          <w:rFonts w:hint="eastAsia" w:ascii="Times New Roman" w:hAnsi="Times New Roman" w:eastAsia="仿宋_GB2312" w:cs="Times New Roman"/>
          <w:i w:val="0"/>
          <w:iCs w:val="0"/>
          <w:caps w:val="0"/>
          <w:color w:val="000000"/>
          <w:spacing w:val="0"/>
          <w:sz w:val="32"/>
          <w:szCs w:val="32"/>
          <w:highlight w:val="none"/>
          <w:shd w:val="clear" w:color="auto" w:fill="FFFFFF"/>
          <w:lang w:val="en-US" w:eastAsia="zh-CN"/>
        </w:rPr>
        <w:t>2</w:t>
      </w:r>
      <w:r>
        <w:rPr>
          <w:rFonts w:hint="default" w:ascii="Times New Roman" w:hAnsi="Times New Roman" w:eastAsia="仿宋_GB2312" w:cs="Times New Roman"/>
          <w:i w:val="0"/>
          <w:iCs w:val="0"/>
          <w:caps w:val="0"/>
          <w:color w:val="000000"/>
          <w:spacing w:val="0"/>
          <w:sz w:val="32"/>
          <w:szCs w:val="32"/>
          <w:highlight w:val="none"/>
          <w:shd w:val="clear" w:color="auto" w:fill="FFFFFF"/>
          <w:lang w:val="en-US" w:eastAsia="zh-CN"/>
        </w:rPr>
        <w:t>号）</w:t>
      </w:r>
      <w:r>
        <w:rPr>
          <w:rFonts w:hint="eastAsia" w:ascii="仿宋_GB2312" w:hAnsi="仿宋_GB2312" w:eastAsia="仿宋_GB2312" w:cs="仿宋_GB2312"/>
          <w:sz w:val="32"/>
          <w:szCs w:val="32"/>
          <w:highlight w:val="none"/>
          <w:lang w:val="en-US" w:eastAsia="zh-CN"/>
        </w:rPr>
        <w:t>要</w:t>
      </w:r>
      <w:r>
        <w:rPr>
          <w:rFonts w:hint="default" w:ascii="Nimbus Roman No9 L" w:hAnsi="Nimbus Roman No9 L" w:eastAsia="仿宋_GB2312" w:cs="Nimbus Roman No9 L"/>
          <w:sz w:val="32"/>
          <w:szCs w:val="32"/>
          <w:highlight w:val="none"/>
          <w:lang w:val="en-US" w:eastAsia="zh-CN"/>
        </w:rPr>
        <w:t>求，</w:t>
      </w:r>
      <w:r>
        <w:rPr>
          <w:rFonts w:hint="eastAsia" w:ascii="仿宋_GB2312" w:hAnsi="仿宋_GB2312" w:eastAsia="仿宋_GB2312" w:cs="仿宋_GB2312"/>
          <w:sz w:val="32"/>
          <w:szCs w:val="32"/>
          <w:highlight w:val="none"/>
          <w:lang w:val="en-US" w:eastAsia="zh-CN"/>
        </w:rPr>
        <w:t>在试点工作期间，将遴选数字化改造成效显著的企业、数字化转型优质服务商（产品）及典型高效的“链式”转型产品和服务等优秀成果案例并给予奖励，现制定申报指南如下：</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left="0" w:right="0" w:firstLine="640" w:firstLineChars="200"/>
        <w:textAlignment w:val="auto"/>
        <w:rPr>
          <w:rFonts w:hint="eastAsia" w:ascii="黑体" w:hAnsi="黑体" w:eastAsia="黑体" w:cs="黑体"/>
          <w:sz w:val="32"/>
          <w:szCs w:val="32"/>
          <w:highlight w:val="none"/>
          <w:lang w:val="en-US" w:eastAsia="zh-CN"/>
        </w:rPr>
      </w:pPr>
      <w:r>
        <w:rPr>
          <w:rFonts w:hint="eastAsia" w:ascii="黑体" w:hAnsi="黑体" w:eastAsia="黑体" w:cs="黑体"/>
          <w:kern w:val="2"/>
          <w:sz w:val="32"/>
          <w:szCs w:val="32"/>
          <w:highlight w:val="none"/>
          <w:lang w:val="en-US" w:eastAsia="zh-CN" w:bidi="ar-SA"/>
        </w:rPr>
        <w:t>一、申报条件</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kern w:val="2"/>
          <w:sz w:val="32"/>
          <w:szCs w:val="32"/>
          <w:highlight w:val="none"/>
          <w:lang w:val="en-US" w:eastAsia="zh-CN" w:bidi="ar-SA"/>
        </w:rPr>
      </w:pPr>
      <w:r>
        <w:rPr>
          <w:rFonts w:hint="eastAsia" w:ascii="楷体" w:hAnsi="楷体" w:eastAsia="楷体" w:cs="楷体"/>
          <w:kern w:val="2"/>
          <w:sz w:val="32"/>
          <w:szCs w:val="32"/>
          <w:highlight w:val="none"/>
          <w:lang w:val="en-US" w:eastAsia="zh-CN" w:bidi="ar-SA"/>
        </w:rPr>
        <w:t>（一）数字化改造成效显著的企业</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val="en-US" w:eastAsia="zh-CN"/>
        </w:rPr>
        <w:t>申报企业须已参与大连市中小企业数字化转型试点城市数字化改造工作，且已通过数字化改造项目验收。</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申报企业积极利用5G、工业互联网、云计算、区块链等新一代信息技术，企业主导产品在所属细分行业中具有典型性，鼓励企业数字化改造方案优质、成效显著，数字化改造产品符合“小快轻准”的特点，且易于向其他具有改造需求的企业复制推广，具有较强的标杆示范作用；</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3.申报企业有意愿通过座谈交流、接受企业参访等方式，分享自身的数字化转型经验及成效；</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i w:val="0"/>
          <w:iCs w:val="0"/>
          <w:caps w:val="0"/>
          <w:color w:val="auto"/>
          <w:spacing w:val="0"/>
          <w:sz w:val="32"/>
          <w:szCs w:val="32"/>
          <w:highlight w:val="none"/>
          <w:shd w:val="clear" w:fill="FFFFFF"/>
          <w:lang w:val="en-US" w:eastAsia="zh-CN"/>
        </w:rPr>
        <w:t>4.申报企业</w:t>
      </w:r>
      <w:r>
        <w:rPr>
          <w:rFonts w:hint="eastAsia" w:ascii="Times New Roman" w:hAnsi="Times New Roman" w:eastAsia="仿宋_GB2312" w:cs="Times New Roman"/>
          <w:i w:val="0"/>
          <w:iCs w:val="0"/>
          <w:caps w:val="0"/>
          <w:color w:val="auto"/>
          <w:spacing w:val="0"/>
          <w:sz w:val="32"/>
          <w:szCs w:val="32"/>
          <w:highlight w:val="none"/>
          <w:shd w:val="clear" w:fill="FFFFFF"/>
        </w:rPr>
        <w:t>生产经营和财务状况良好，未被列入经营异常名录</w:t>
      </w:r>
      <w:r>
        <w:rPr>
          <w:rFonts w:hint="eastAsia" w:ascii="Times New Roman" w:hAnsi="Times New Roman" w:eastAsia="仿宋_GB2312" w:cs="Times New Roman"/>
          <w:i w:val="0"/>
          <w:iCs w:val="0"/>
          <w:caps w:val="0"/>
          <w:color w:val="auto"/>
          <w:spacing w:val="0"/>
          <w:sz w:val="32"/>
          <w:szCs w:val="32"/>
          <w:highlight w:val="none"/>
          <w:shd w:val="clear" w:fill="FFFFFF"/>
          <w:lang w:eastAsia="zh-CN"/>
        </w:rPr>
        <w:t>、严重</w:t>
      </w:r>
      <w:r>
        <w:rPr>
          <w:rFonts w:hint="eastAsia" w:ascii="Times New Roman" w:hAnsi="Times New Roman" w:eastAsia="仿宋_GB2312" w:cs="Times New Roman"/>
          <w:i w:val="0"/>
          <w:iCs w:val="0"/>
          <w:caps w:val="0"/>
          <w:color w:val="auto"/>
          <w:spacing w:val="0"/>
          <w:sz w:val="32"/>
          <w:szCs w:val="32"/>
          <w:highlight w:val="none"/>
          <w:shd w:val="clear" w:fill="FFFFFF"/>
        </w:rPr>
        <w:t>失信主体名单</w:t>
      </w:r>
      <w:r>
        <w:rPr>
          <w:rFonts w:hint="eastAsia" w:ascii="Times New Roman" w:hAnsi="Times New Roman" w:eastAsia="仿宋_GB2312" w:cs="Times New Roman"/>
          <w:i w:val="0"/>
          <w:iCs w:val="0"/>
          <w:caps w:val="0"/>
          <w:color w:val="auto"/>
          <w:spacing w:val="0"/>
          <w:sz w:val="32"/>
          <w:szCs w:val="32"/>
          <w:highlight w:val="none"/>
          <w:shd w:val="clear" w:fill="FFFFFF"/>
          <w:lang w:eastAsia="zh-CN"/>
        </w:rPr>
        <w:t>。</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textAlignment w:val="auto"/>
        <w:rPr>
          <w:rFonts w:hint="eastAsia" w:ascii="楷体_GB2312" w:hAnsi="楷体_GB2312" w:eastAsia="楷体_GB2312" w:cs="楷体_GB2312"/>
          <w:i w:val="0"/>
          <w:iCs w:val="0"/>
          <w:caps w:val="0"/>
          <w:color w:val="auto"/>
          <w:spacing w:val="0"/>
          <w:kern w:val="2"/>
          <w:sz w:val="32"/>
          <w:szCs w:val="32"/>
          <w:highlight w:val="none"/>
          <w:shd w:val="clear" w:fill="FFFFFF"/>
          <w:lang w:val="en-US" w:eastAsia="zh-CN" w:bidi="ar-SA"/>
        </w:rPr>
      </w:pPr>
      <w:r>
        <w:rPr>
          <w:rFonts w:hint="eastAsia" w:ascii="楷体_GB2312" w:hAnsi="楷体_GB2312" w:eastAsia="楷体_GB2312" w:cs="楷体_GB2312"/>
          <w:i w:val="0"/>
          <w:iCs w:val="0"/>
          <w:caps w:val="0"/>
          <w:color w:val="auto"/>
          <w:spacing w:val="0"/>
          <w:kern w:val="2"/>
          <w:sz w:val="32"/>
          <w:szCs w:val="32"/>
          <w:highlight w:val="none"/>
          <w:shd w:val="clear" w:fill="FFFFFF"/>
          <w:lang w:val="en-US" w:eastAsia="zh-CN" w:bidi="ar-SA"/>
        </w:rPr>
        <w:t>（二）数字化转型优质服务商（产品）</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1.申报服务商须已参与大连市中小企业数字化转型试点城市数字化改造工作。</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2.申报服务商所提供的解决方案及产品须</w:t>
      </w:r>
      <w:r>
        <w:rPr>
          <w:rFonts w:hint="eastAsia" w:ascii="Times New Roman" w:hAnsi="Times New Roman" w:eastAsia="仿宋_GB2312" w:cs="Times New Roman"/>
          <w:i w:val="0"/>
          <w:iCs w:val="0"/>
          <w:caps w:val="0"/>
          <w:color w:val="auto"/>
          <w:spacing w:val="0"/>
          <w:sz w:val="32"/>
          <w:szCs w:val="32"/>
          <w:highlight w:val="none"/>
          <w:shd w:val="clear" w:fill="FFFFFF"/>
          <w:lang w:val="en-US" w:eastAsia="zh-CN"/>
        </w:rPr>
        <w:t>具有自主知识产权。</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申报服务商所提报的产品须符合《中小企业数字化转型“共性+个性”（“N+X”）产品清单》的内容要求，产品对于大连市两个试点行业的中小企业适配性较强、部署周期及资金投入相对可控、成效较为显著，申报服务商所服务的试点企业具有较高的满意度；</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4.</w:t>
      </w:r>
      <w:r>
        <w:rPr>
          <w:rFonts w:hint="eastAsia" w:ascii="Times New Roman" w:hAnsi="Times New Roman" w:eastAsia="仿宋_GB2312" w:cs="Times New Roman"/>
          <w:i w:val="0"/>
          <w:iCs w:val="0"/>
          <w:caps w:val="0"/>
          <w:color w:val="000000"/>
          <w:spacing w:val="0"/>
          <w:sz w:val="32"/>
          <w:szCs w:val="32"/>
          <w:highlight w:val="none"/>
          <w:shd w:val="clear" w:fill="FFFFFF"/>
          <w:lang w:val="en-US" w:eastAsia="zh-CN"/>
        </w:rPr>
        <w:t>申报服务商</w:t>
      </w:r>
      <w:r>
        <w:rPr>
          <w:rFonts w:hint="eastAsia" w:ascii="Times New Roman" w:hAnsi="Times New Roman" w:eastAsia="仿宋_GB2312" w:cs="Times New Roman"/>
          <w:i w:val="0"/>
          <w:iCs w:val="0"/>
          <w:caps w:val="0"/>
          <w:color w:val="000000"/>
          <w:spacing w:val="0"/>
          <w:sz w:val="32"/>
          <w:szCs w:val="32"/>
          <w:highlight w:val="none"/>
          <w:shd w:val="clear" w:fill="FFFFFF"/>
        </w:rPr>
        <w:t>生产经营和财务状况良好，未被列入经营异常名录</w:t>
      </w:r>
      <w:r>
        <w:rPr>
          <w:rFonts w:hint="eastAsia" w:ascii="Times New Roman" w:hAnsi="Times New Roman" w:eastAsia="仿宋_GB2312" w:cs="Times New Roman"/>
          <w:i w:val="0"/>
          <w:iCs w:val="0"/>
          <w:caps w:val="0"/>
          <w:color w:val="000000"/>
          <w:spacing w:val="0"/>
          <w:sz w:val="32"/>
          <w:szCs w:val="32"/>
          <w:highlight w:val="none"/>
          <w:shd w:val="clear" w:fill="FFFFFF"/>
          <w:lang w:eastAsia="zh-CN"/>
        </w:rPr>
        <w:t>、严重</w:t>
      </w:r>
      <w:r>
        <w:rPr>
          <w:rFonts w:hint="eastAsia" w:ascii="Times New Roman" w:hAnsi="Times New Roman" w:eastAsia="仿宋_GB2312" w:cs="Times New Roman"/>
          <w:i w:val="0"/>
          <w:iCs w:val="0"/>
          <w:caps w:val="0"/>
          <w:color w:val="000000"/>
          <w:spacing w:val="0"/>
          <w:sz w:val="32"/>
          <w:szCs w:val="32"/>
          <w:highlight w:val="none"/>
          <w:shd w:val="clear" w:fill="FFFFFF"/>
        </w:rPr>
        <w:t>失信主体名单</w:t>
      </w:r>
      <w:r>
        <w:rPr>
          <w:rFonts w:hint="eastAsia" w:ascii="Times New Roman" w:hAnsi="Times New Roman" w:eastAsia="仿宋_GB2312" w:cs="Times New Roman"/>
          <w:i w:val="0"/>
          <w:iCs w:val="0"/>
          <w:caps w:val="0"/>
          <w:color w:val="000000"/>
          <w:spacing w:val="0"/>
          <w:sz w:val="32"/>
          <w:szCs w:val="32"/>
          <w:highlight w:val="none"/>
          <w:shd w:val="clear" w:fill="FFFFFF"/>
          <w:lang w:eastAsia="zh-CN"/>
        </w:rPr>
        <w:t>。</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楷体_GB2312" w:hAnsi="楷体_GB2312" w:eastAsia="楷体_GB2312" w:cs="楷体_GB2312"/>
          <w:i w:val="0"/>
          <w:iCs w:val="0"/>
          <w:caps w:val="0"/>
          <w:color w:val="000000"/>
          <w:spacing w:val="0"/>
          <w:kern w:val="2"/>
          <w:sz w:val="32"/>
          <w:szCs w:val="32"/>
          <w:highlight w:val="none"/>
          <w:shd w:val="clear" w:fill="FFFFFF"/>
          <w:lang w:val="en-US" w:eastAsia="zh-CN" w:bidi="ar-SA"/>
        </w:rPr>
        <w:t>（三）典型高效的“链式”转型产品和服务</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申报企业须为大连市两个试点行业的企业或数字化转型服务商。申报“链主企业赋能模式”的主体须为大连市试点行业的企业，具有一定的行业领导地位；申报“数字化平台赋能模式”的主体须为深耕大连市试点行业，具有较强行业数字化服务能力和丰富服务经验的数字化转型服务商；</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2.申报主体须带动10家以上试点行业及其产业链上企业开展数字化改造，并有意愿持续带动链上中小企业开展数字化转型；</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Times New Roman" w:hAnsi="Times New Roman" w:eastAsia="仿宋_GB2312" w:cs="Times New Roman"/>
          <w:i w:val="0"/>
          <w:iCs w:val="0"/>
          <w:caps w:val="0"/>
          <w:color w:val="auto"/>
          <w:spacing w:val="0"/>
          <w:sz w:val="32"/>
          <w:szCs w:val="32"/>
          <w:highlight w:val="none"/>
          <w:shd w:val="clear" w:fill="FFFFFF"/>
          <w:lang w:eastAsia="zh-CN"/>
        </w:rPr>
      </w:pP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i w:val="0"/>
          <w:iCs w:val="0"/>
          <w:caps w:val="0"/>
          <w:color w:val="auto"/>
          <w:spacing w:val="0"/>
          <w:sz w:val="32"/>
          <w:szCs w:val="32"/>
          <w:highlight w:val="none"/>
          <w:shd w:val="clear" w:fill="FFFFFF"/>
          <w:lang w:val="en-US" w:eastAsia="zh-CN"/>
        </w:rPr>
        <w:t>申报服务商</w:t>
      </w:r>
      <w:r>
        <w:rPr>
          <w:rFonts w:hint="eastAsia" w:ascii="Times New Roman" w:hAnsi="Times New Roman" w:eastAsia="仿宋_GB2312" w:cs="Times New Roman"/>
          <w:i w:val="0"/>
          <w:iCs w:val="0"/>
          <w:caps w:val="0"/>
          <w:color w:val="auto"/>
          <w:spacing w:val="0"/>
          <w:sz w:val="32"/>
          <w:szCs w:val="32"/>
          <w:highlight w:val="none"/>
          <w:shd w:val="clear" w:fill="FFFFFF"/>
        </w:rPr>
        <w:t>生产经营和财务状况良好，未被列入经营异常名录</w:t>
      </w:r>
      <w:r>
        <w:rPr>
          <w:rFonts w:hint="eastAsia" w:ascii="Times New Roman" w:hAnsi="Times New Roman" w:eastAsia="仿宋_GB2312" w:cs="Times New Roman"/>
          <w:i w:val="0"/>
          <w:iCs w:val="0"/>
          <w:caps w:val="0"/>
          <w:color w:val="auto"/>
          <w:spacing w:val="0"/>
          <w:sz w:val="32"/>
          <w:szCs w:val="32"/>
          <w:highlight w:val="none"/>
          <w:shd w:val="clear" w:fill="FFFFFF"/>
          <w:lang w:eastAsia="zh-CN"/>
        </w:rPr>
        <w:t>、严重</w:t>
      </w:r>
      <w:r>
        <w:rPr>
          <w:rFonts w:hint="eastAsia" w:ascii="Times New Roman" w:hAnsi="Times New Roman" w:eastAsia="仿宋_GB2312" w:cs="Times New Roman"/>
          <w:i w:val="0"/>
          <w:iCs w:val="0"/>
          <w:caps w:val="0"/>
          <w:color w:val="auto"/>
          <w:spacing w:val="0"/>
          <w:sz w:val="32"/>
          <w:szCs w:val="32"/>
          <w:highlight w:val="none"/>
          <w:shd w:val="clear" w:fill="FFFFFF"/>
        </w:rPr>
        <w:t>失信主体名单</w:t>
      </w:r>
      <w:r>
        <w:rPr>
          <w:rFonts w:hint="eastAsia" w:ascii="Times New Roman" w:hAnsi="Times New Roman" w:eastAsia="仿宋_GB2312" w:cs="Times New Roman"/>
          <w:i w:val="0"/>
          <w:iCs w:val="0"/>
          <w:caps w:val="0"/>
          <w:color w:val="auto"/>
          <w:spacing w:val="0"/>
          <w:sz w:val="32"/>
          <w:szCs w:val="32"/>
          <w:highlight w:val="none"/>
          <w:shd w:val="clear" w:fill="FFFFFF"/>
          <w:lang w:eastAsia="zh-CN"/>
        </w:rPr>
        <w:t>。</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textAlignment w:val="auto"/>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二、支持标准</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kern w:val="2"/>
          <w:sz w:val="32"/>
          <w:szCs w:val="32"/>
          <w:highlight w:val="none"/>
          <w:lang w:val="en-US" w:eastAsia="zh-CN" w:bidi="ar-SA"/>
        </w:rPr>
      </w:pPr>
      <w:r>
        <w:rPr>
          <w:rFonts w:hint="eastAsia" w:ascii="楷体" w:hAnsi="楷体" w:eastAsia="楷体" w:cs="楷体"/>
          <w:kern w:val="2"/>
          <w:sz w:val="32"/>
          <w:szCs w:val="32"/>
          <w:highlight w:val="none"/>
          <w:lang w:val="en-US" w:eastAsia="zh-CN" w:bidi="ar-SA"/>
        </w:rPr>
        <w:t>（一）数字化改造成效显著的企业</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Times New Roman" w:hAnsi="Times New Roman" w:eastAsia="仿宋_GB2312" w:cs="Times New Roman"/>
          <w:i w:val="0"/>
          <w:iCs w:val="0"/>
          <w:caps w:val="0"/>
          <w:color w:val="000000"/>
          <w:spacing w:val="0"/>
          <w:sz w:val="32"/>
          <w:szCs w:val="32"/>
          <w:highlight w:val="none"/>
          <w:shd w:val="clear" w:fill="FFFFFF"/>
          <w:lang w:val="en-US" w:eastAsia="zh-CN"/>
        </w:rPr>
      </w:pPr>
      <w:r>
        <w:rPr>
          <w:rFonts w:hint="eastAsia" w:ascii="Times New Roman" w:hAnsi="Times New Roman" w:eastAsia="仿宋_GB2312" w:cs="Times New Roman"/>
          <w:i w:val="0"/>
          <w:iCs w:val="0"/>
          <w:caps w:val="0"/>
          <w:color w:val="000000"/>
          <w:spacing w:val="0"/>
          <w:sz w:val="32"/>
          <w:szCs w:val="32"/>
          <w:highlight w:val="none"/>
          <w:shd w:val="clear" w:fill="FFFFFF"/>
          <w:lang w:val="en-US" w:eastAsia="zh-CN"/>
        </w:rPr>
        <w:t>分两批遴选不少于30家数字化改造成效显著的标杆企业，奖励标准</w:t>
      </w:r>
      <w:r>
        <w:rPr>
          <w:rFonts w:hint="default" w:ascii="Times New Roman" w:hAnsi="Times New Roman" w:eastAsia="仿宋_GB2312" w:cs="Times New Roman"/>
          <w:sz w:val="32"/>
          <w:szCs w:val="32"/>
          <w:highlight w:val="none"/>
        </w:rPr>
        <w:t>结合企业达到的数字化水平等级给予资金奖励</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数字化水平三级</w:t>
      </w:r>
      <w:r>
        <w:rPr>
          <w:rFonts w:hint="eastAsia" w:ascii="Times New Roman" w:hAnsi="Times New Roman" w:eastAsia="仿宋_GB2312" w:cs="Times New Roman"/>
          <w:color w:val="auto"/>
          <w:sz w:val="32"/>
          <w:szCs w:val="32"/>
          <w:highlight w:val="none"/>
          <w:lang w:val="en-US" w:eastAsia="zh-CN"/>
        </w:rPr>
        <w:t>及以上</w:t>
      </w:r>
      <w:r>
        <w:rPr>
          <w:rFonts w:hint="default" w:ascii="Times New Roman" w:hAnsi="Times New Roman" w:eastAsia="仿宋_GB2312" w:cs="Times New Roman"/>
          <w:color w:val="auto"/>
          <w:sz w:val="32"/>
          <w:szCs w:val="32"/>
          <w:highlight w:val="none"/>
          <w:lang w:val="en-US" w:eastAsia="zh-CN"/>
        </w:rPr>
        <w:t>的企业列为标杆的，</w:t>
      </w:r>
      <w:r>
        <w:rPr>
          <w:rFonts w:hint="default" w:ascii="Times New Roman" w:hAnsi="Times New Roman" w:eastAsia="仿宋_GB2312" w:cs="Times New Roman"/>
          <w:color w:val="auto"/>
          <w:sz w:val="32"/>
          <w:szCs w:val="32"/>
          <w:highlight w:val="none"/>
        </w:rPr>
        <w:t>每家企业奖励资金不超过1</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val="en-US" w:eastAsia="zh-CN"/>
        </w:rPr>
        <w:t>；数字化水平二级</w:t>
      </w:r>
      <w:r>
        <w:rPr>
          <w:rFonts w:hint="default" w:ascii="Times New Roman" w:hAnsi="Times New Roman" w:eastAsia="仿宋_GB2312" w:cs="Times New Roman"/>
          <w:sz w:val="32"/>
          <w:szCs w:val="32"/>
          <w:highlight w:val="none"/>
          <w:lang w:val="en-US" w:eastAsia="zh-CN"/>
        </w:rPr>
        <w:t>的企业列为标杆的，每家企业奖励资金不超过6万元</w:t>
      </w:r>
      <w:r>
        <w:rPr>
          <w:rFonts w:hint="default" w:ascii="Times New Roman" w:hAnsi="Times New Roman" w:eastAsia="仿宋_GB2312" w:cs="Times New Roman"/>
          <w:sz w:val="32"/>
          <w:szCs w:val="32"/>
          <w:highlight w:val="none"/>
        </w:rPr>
        <w:t>。</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楷体_GB2312" w:hAnsi="楷体_GB2312" w:eastAsia="楷体_GB2312" w:cs="楷体_GB2312"/>
          <w:i w:val="0"/>
          <w:iCs w:val="0"/>
          <w:caps w:val="0"/>
          <w:color w:val="000000"/>
          <w:spacing w:val="0"/>
          <w:kern w:val="2"/>
          <w:sz w:val="32"/>
          <w:szCs w:val="32"/>
          <w:highlight w:val="none"/>
          <w:shd w:val="clear" w:fill="FFFFFF"/>
          <w:lang w:val="en-US" w:eastAsia="zh-CN" w:bidi="ar-SA"/>
        </w:rPr>
      </w:pPr>
      <w:r>
        <w:rPr>
          <w:rFonts w:hint="eastAsia" w:ascii="楷体_GB2312" w:hAnsi="楷体_GB2312" w:eastAsia="楷体_GB2312" w:cs="楷体_GB2312"/>
          <w:i w:val="0"/>
          <w:iCs w:val="0"/>
          <w:caps w:val="0"/>
          <w:color w:val="000000"/>
          <w:spacing w:val="0"/>
          <w:kern w:val="2"/>
          <w:sz w:val="32"/>
          <w:szCs w:val="32"/>
          <w:highlight w:val="none"/>
          <w:shd w:val="clear" w:fill="FFFFFF"/>
          <w:lang w:val="en-US" w:eastAsia="zh-CN" w:bidi="ar-SA"/>
        </w:rPr>
        <w:t>（二）数字化转型优质服务商（产品）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Times New Roman"/>
          <w:i w:val="0"/>
          <w:iCs w:val="0"/>
          <w:caps w:val="0"/>
          <w:color w:val="000000"/>
          <w:spacing w:val="0"/>
          <w:sz w:val="32"/>
          <w:szCs w:val="32"/>
          <w:highlight w:val="none"/>
          <w:shd w:val="clear" w:fill="FFFFFF"/>
          <w:lang w:val="en-US" w:eastAsia="zh-CN"/>
        </w:rPr>
      </w:pPr>
      <w:r>
        <w:rPr>
          <w:rFonts w:hint="eastAsia" w:ascii="Times New Roman" w:hAnsi="Times New Roman" w:eastAsia="仿宋_GB2312" w:cs="Times New Roman"/>
          <w:i w:val="0"/>
          <w:iCs w:val="0"/>
          <w:caps w:val="0"/>
          <w:color w:val="000000"/>
          <w:spacing w:val="0"/>
          <w:sz w:val="32"/>
          <w:szCs w:val="32"/>
          <w:highlight w:val="none"/>
          <w:shd w:val="clear" w:fill="FFFFFF"/>
          <w:lang w:val="en-US" w:eastAsia="zh-CN"/>
        </w:rPr>
        <w:t>分两批遴选不少于15个数字化转型优质产品，根据产品应用试点企业数量、部署周期、价格及行业适用性等方面进行考评。每个产品奖励资金不超过10万元，</w:t>
      </w:r>
      <w:r>
        <w:rPr>
          <w:rFonts w:hint="eastAsia" w:ascii="Times New Roman" w:hAnsi="Times New Roman" w:eastAsia="仿宋_GB2312" w:cs="Times New Roman"/>
          <w:color w:val="auto"/>
          <w:sz w:val="32"/>
          <w:szCs w:val="32"/>
          <w:highlight w:val="none"/>
          <w:lang w:eastAsia="zh-CN"/>
        </w:rPr>
        <w:t>对于同一服务商入选多个产品的，奖励资金不超过</w:t>
      </w:r>
      <w:r>
        <w:rPr>
          <w:rFonts w:hint="eastAsia" w:ascii="Times New Roman" w:hAnsi="Times New Roman" w:eastAsia="仿宋_GB2312" w:cs="Times New Roman"/>
          <w:color w:val="auto"/>
          <w:sz w:val="32"/>
          <w:szCs w:val="32"/>
          <w:highlight w:val="none"/>
          <w:lang w:val="en-US" w:eastAsia="zh-CN"/>
        </w:rPr>
        <w:t>15万元。</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楷体_GB2312" w:hAnsi="楷体_GB2312" w:eastAsia="楷体_GB2312" w:cs="楷体_GB2312"/>
          <w:i w:val="0"/>
          <w:iCs w:val="0"/>
          <w:caps w:val="0"/>
          <w:color w:val="000000"/>
          <w:spacing w:val="0"/>
          <w:kern w:val="2"/>
          <w:sz w:val="32"/>
          <w:szCs w:val="32"/>
          <w:highlight w:val="none"/>
          <w:shd w:val="clear" w:fill="FFFFFF"/>
          <w:lang w:val="en-US" w:eastAsia="zh-CN" w:bidi="ar-SA"/>
        </w:rPr>
      </w:pPr>
      <w:r>
        <w:rPr>
          <w:rFonts w:hint="eastAsia" w:ascii="楷体_GB2312" w:hAnsi="楷体_GB2312" w:eastAsia="楷体_GB2312" w:cs="楷体_GB2312"/>
          <w:i w:val="0"/>
          <w:iCs w:val="0"/>
          <w:caps w:val="0"/>
          <w:color w:val="000000"/>
          <w:spacing w:val="0"/>
          <w:kern w:val="2"/>
          <w:sz w:val="32"/>
          <w:szCs w:val="32"/>
          <w:highlight w:val="none"/>
          <w:shd w:val="clear" w:fill="FFFFFF"/>
          <w:lang w:val="en-US" w:eastAsia="zh-CN" w:bidi="ar-SA"/>
        </w:rPr>
        <w:t>（三）典型高效的“链式”转型产品和服务</w:t>
      </w:r>
    </w:p>
    <w:p>
      <w:pPr>
        <w:pStyle w:val="11"/>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i w:val="0"/>
          <w:iCs w:val="0"/>
          <w:caps w:val="0"/>
          <w:color w:val="000000"/>
          <w:spacing w:val="0"/>
          <w:sz w:val="32"/>
          <w:szCs w:val="32"/>
          <w:highlight w:val="none"/>
          <w:shd w:val="clear" w:fill="FFFFFF"/>
          <w:lang w:val="en-US" w:eastAsia="zh-CN"/>
        </w:rPr>
        <w:t>拟分两批遴选不少于4个提供典型高效的“链式”转型产品和服务的“链式”企业</w:t>
      </w:r>
      <w:r>
        <w:rPr>
          <w:rFonts w:hint="eastAsia" w:ascii="Times New Roman" w:hAnsi="Times New Roman" w:eastAsia="仿宋_GB2312" w:cs="Times New Roman"/>
          <w:i w:val="0"/>
          <w:iCs w:val="0"/>
          <w:caps w:val="0"/>
          <w:color w:val="auto"/>
          <w:spacing w:val="0"/>
          <w:sz w:val="32"/>
          <w:szCs w:val="32"/>
          <w:highlight w:val="none"/>
          <w:shd w:val="clear" w:fill="FFFFFF"/>
          <w:lang w:val="en-US" w:eastAsia="zh-CN"/>
        </w:rPr>
        <w:t>，</w:t>
      </w:r>
      <w:r>
        <w:rPr>
          <w:rFonts w:hint="default" w:ascii="Times New Roman" w:hAnsi="Times New Roman" w:eastAsia="仿宋_GB2312" w:cs="Times New Roman"/>
          <w:color w:val="auto"/>
          <w:sz w:val="32"/>
          <w:szCs w:val="32"/>
          <w:highlight w:val="none"/>
        </w:rPr>
        <w:t>提供典型高效</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链式</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转型产品和服务的</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链式</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企业应带动10家以上链上企业开展数字化转型，给予</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链式</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企业基础奖励资金10万元；</w:t>
      </w:r>
      <w:r>
        <w:rPr>
          <w:rFonts w:hint="eastAsia" w:ascii="Times New Roman" w:hAnsi="Times New Roman" w:eastAsia="仿宋_GB2312" w:cs="Times New Roman"/>
          <w:color w:val="auto"/>
          <w:sz w:val="32"/>
          <w:szCs w:val="32"/>
          <w:highlight w:val="none"/>
          <w:lang w:eastAsia="zh-CN"/>
        </w:rPr>
        <w:t>“链式”企业在带动</w:t>
      </w:r>
      <w:r>
        <w:rPr>
          <w:rFonts w:hint="eastAsia" w:ascii="Times New Roman" w:hAnsi="Times New Roman" w:eastAsia="仿宋_GB2312" w:cs="Times New Roman"/>
          <w:color w:val="auto"/>
          <w:sz w:val="32"/>
          <w:szCs w:val="32"/>
          <w:highlight w:val="none"/>
          <w:lang w:val="en-US" w:eastAsia="zh-CN"/>
        </w:rPr>
        <w:t>10家企业转型的基础上，对于增加的带动企业为通过验收的试点企业时，</w:t>
      </w:r>
      <w:r>
        <w:rPr>
          <w:rFonts w:hint="default" w:ascii="Times New Roman" w:hAnsi="Times New Roman" w:eastAsia="仿宋_GB2312" w:cs="Times New Roman"/>
          <w:color w:val="auto"/>
          <w:sz w:val="32"/>
          <w:szCs w:val="32"/>
          <w:highlight w:val="none"/>
        </w:rPr>
        <w:t>给予</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链式</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企业2万元/家的额外资金奖励，每</w:t>
      </w:r>
      <w:r>
        <w:rPr>
          <w:rFonts w:hint="eastAsia" w:ascii="Times New Roman" w:hAnsi="Times New Roman" w:eastAsia="仿宋_GB2312" w:cs="Times New Roman"/>
          <w:color w:val="auto"/>
          <w:sz w:val="32"/>
          <w:szCs w:val="32"/>
          <w:highlight w:val="none"/>
          <w:lang w:eastAsia="zh-CN"/>
        </w:rPr>
        <w:t>家“</w:t>
      </w:r>
      <w:r>
        <w:rPr>
          <w:rFonts w:hint="default" w:ascii="Times New Roman" w:hAnsi="Times New Roman" w:eastAsia="仿宋_GB2312" w:cs="Times New Roman"/>
          <w:color w:val="auto"/>
          <w:sz w:val="32"/>
          <w:szCs w:val="32"/>
          <w:highlight w:val="none"/>
        </w:rPr>
        <w:t>链式</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企业最多奖励30万元。</w:t>
      </w:r>
      <w:r>
        <w:rPr>
          <w:rFonts w:hint="eastAsia" w:ascii="Times New Roman" w:hAnsi="Times New Roman" w:eastAsia="仿宋_GB2312" w:cs="Times New Roman"/>
          <w:color w:val="auto"/>
          <w:sz w:val="32"/>
          <w:szCs w:val="32"/>
          <w:highlight w:val="none"/>
          <w:lang w:val="en-US" w:eastAsia="zh-CN"/>
        </w:rPr>
        <w:t>奖励</w:t>
      </w:r>
      <w:r>
        <w:rPr>
          <w:rFonts w:hint="default" w:ascii="Times New Roman" w:hAnsi="Times New Roman" w:eastAsia="仿宋_GB2312" w:cs="Times New Roman"/>
          <w:color w:val="auto"/>
          <w:sz w:val="32"/>
          <w:szCs w:val="32"/>
          <w:highlight w:val="none"/>
          <w:lang w:val="en-US" w:eastAsia="zh-CN"/>
        </w:rPr>
        <w:t>资金在</w:t>
      </w:r>
      <w:r>
        <w:rPr>
          <w:rFonts w:hint="eastAsia" w:ascii="Times New Roman" w:hAnsi="Times New Roman" w:eastAsia="仿宋_GB2312" w:cs="Times New Roman"/>
          <w:color w:val="auto"/>
          <w:sz w:val="32"/>
          <w:szCs w:val="32"/>
          <w:highlight w:val="none"/>
          <w:lang w:val="en-US" w:eastAsia="zh-CN"/>
        </w:rPr>
        <w:t>第二批申报结束，经</w:t>
      </w:r>
      <w:r>
        <w:rPr>
          <w:rFonts w:hint="default" w:ascii="Times New Roman" w:hAnsi="Times New Roman" w:eastAsia="仿宋_GB2312" w:cs="Times New Roman"/>
          <w:color w:val="auto"/>
          <w:sz w:val="32"/>
          <w:szCs w:val="32"/>
          <w:highlight w:val="none"/>
          <w:lang w:val="en-US" w:eastAsia="zh-CN"/>
        </w:rPr>
        <w:t>核算后下发。</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right="0" w:rightChars="0" w:firstLine="640" w:firstLineChars="200"/>
        <w:textAlignment w:val="auto"/>
        <w:rPr>
          <w:rFonts w:hint="eastAsia" w:ascii="Times New Roman" w:hAnsi="Times New Roman" w:eastAsia="仿宋_GB2312" w:cs="Times New Roman"/>
          <w:i w:val="0"/>
          <w:iCs w:val="0"/>
          <w:caps w:val="0"/>
          <w:color w:val="000000"/>
          <w:spacing w:val="0"/>
          <w:sz w:val="32"/>
          <w:szCs w:val="32"/>
          <w:highlight w:val="none"/>
          <w:shd w:val="clear" w:fill="FFFFFF"/>
          <w:lang w:val="en-US" w:eastAsia="zh-CN"/>
        </w:rPr>
      </w:pPr>
      <w:r>
        <w:rPr>
          <w:rFonts w:hint="eastAsia" w:ascii="Times New Roman" w:hAnsi="Times New Roman" w:eastAsia="仿宋_GB2312" w:cs="Times New Roman"/>
          <w:i w:val="0"/>
          <w:iCs w:val="0"/>
          <w:caps w:val="0"/>
          <w:color w:val="000000"/>
          <w:spacing w:val="0"/>
          <w:sz w:val="32"/>
          <w:szCs w:val="32"/>
          <w:highlight w:val="none"/>
          <w:shd w:val="clear" w:fill="FFFFFF"/>
          <w:lang w:val="en-US" w:eastAsia="zh-CN"/>
        </w:rPr>
        <w:t>以上三项每家企业奖励资金额度按照资金预算总额控制。</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left="0" w:leftChars="0" w:right="0" w:rightChars="0" w:firstLine="640" w:firstLineChars="200"/>
        <w:textAlignment w:val="auto"/>
        <w:outlineLvl w:val="0"/>
        <w:rPr>
          <w:rFonts w:hint="default"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三、申报流程</w:t>
      </w:r>
    </w:p>
    <w:p>
      <w:pPr>
        <w:keepNext w:val="0"/>
        <w:keepLines w:val="0"/>
        <w:pageBreakBefore w:val="0"/>
        <w:widowControl w:val="0"/>
        <w:shd w:val="clea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i w:val="0"/>
          <w:iCs w:val="0"/>
          <w:caps w:val="0"/>
          <w:color w:val="000000"/>
          <w:spacing w:val="0"/>
          <w:sz w:val="32"/>
          <w:szCs w:val="32"/>
          <w:highlight w:val="none"/>
          <w:shd w:val="clear" w:fill="FFFFFF"/>
          <w:lang w:val="en-US" w:eastAsia="zh-CN"/>
        </w:rPr>
      </w:pPr>
      <w:r>
        <w:rPr>
          <w:rFonts w:hint="eastAsia" w:ascii="仿宋_GB2312" w:hAnsi="仿宋_GB2312" w:eastAsia="仿宋_GB2312" w:cs="仿宋_GB2312"/>
          <w:i w:val="0"/>
          <w:iCs w:val="0"/>
          <w:caps w:val="0"/>
          <w:color w:val="000000"/>
          <w:spacing w:val="0"/>
          <w:sz w:val="32"/>
          <w:szCs w:val="32"/>
          <w:highlight w:val="none"/>
          <w:shd w:val="clear" w:fill="FFFFFF"/>
          <w:lang w:val="en-US" w:eastAsia="zh-CN"/>
        </w:rPr>
        <w:t>优秀成果案例申报采取线下申报形式，申报单位须根据各项优秀成果案例遴选通知要求，填写优秀成果案例申报表并提供相应佐证材料（详见申报通知及附件填报模板要求）。</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left="0" w:leftChars="0" w:right="0" w:rightChars="0" w:firstLine="640" w:firstLineChars="200"/>
        <w:textAlignment w:val="auto"/>
        <w:outlineLvl w:val="0"/>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四、奖励资金拨付流程</w:t>
      </w:r>
    </w:p>
    <w:p>
      <w:pPr>
        <w:keepNext w:val="0"/>
        <w:keepLines w:val="0"/>
        <w:pageBreakBefore w:val="0"/>
        <w:widowControl w:val="0"/>
        <w:suppressLineNumbers w:val="0"/>
        <w:shd w:val="clear"/>
        <w:kinsoku/>
        <w:wordWrap/>
        <w:overflowPunct/>
        <w:topLinePunct w:val="0"/>
        <w:autoSpaceDE/>
        <w:autoSpaceDN/>
        <w:bidi w:val="0"/>
        <w:adjustRightInd/>
        <w:snapToGrid/>
        <w:spacing w:line="580" w:lineRule="exact"/>
        <w:ind w:firstLine="642" w:firstLineChars="200"/>
        <w:jc w:val="left"/>
        <w:textAlignment w:val="auto"/>
        <w:rPr>
          <w:rFonts w:hint="eastAsia" w:ascii="仿宋_GB2312" w:hAnsi="Times New Roman" w:eastAsia="仿宋_GB2312" w:cs="仿宋_GB2312"/>
          <w:color w:val="333333"/>
          <w:kern w:val="0"/>
          <w:sz w:val="32"/>
          <w:szCs w:val="32"/>
          <w:highlight w:val="none"/>
          <w:shd w:val="clear" w:color="auto" w:fill="FFFFFF"/>
          <w:lang w:val="en-US" w:eastAsia="zh-CN" w:bidi="ar"/>
        </w:rPr>
      </w:pPr>
      <w:r>
        <w:rPr>
          <w:rFonts w:hint="eastAsia" w:ascii="楷体_GB2312" w:hAnsi="Times New Roman" w:eastAsia="楷体_GB2312" w:cs="楷体_GB2312"/>
          <w:b/>
          <w:bCs/>
          <w:color w:val="333333"/>
          <w:kern w:val="0"/>
          <w:sz w:val="32"/>
          <w:szCs w:val="32"/>
          <w:highlight w:val="none"/>
          <w:shd w:val="clear" w:color="auto" w:fill="FFFFFF"/>
          <w:lang w:val="en-US" w:eastAsia="zh-CN" w:bidi="ar"/>
        </w:rPr>
        <w:t>（一）企业申报。</w:t>
      </w:r>
      <w:r>
        <w:rPr>
          <w:rFonts w:hint="eastAsia" w:ascii="仿宋_GB2312" w:hAnsi="仿宋_GB2312" w:eastAsia="仿宋_GB2312" w:cs="仿宋_GB2312"/>
          <w:i w:val="0"/>
          <w:iCs w:val="0"/>
          <w:caps w:val="0"/>
          <w:color w:val="000000"/>
          <w:spacing w:val="0"/>
          <w:sz w:val="32"/>
          <w:szCs w:val="32"/>
          <w:highlight w:val="none"/>
          <w:shd w:val="clear" w:fill="FFFFFF"/>
          <w:lang w:val="en-US" w:eastAsia="zh-CN"/>
        </w:rPr>
        <w:t>符合申报条件的企业根据三类优秀成果案例遴选申报通知，自愿参与奖励资金申报。</w:t>
      </w:r>
    </w:p>
    <w:p>
      <w:pPr>
        <w:keepNext w:val="0"/>
        <w:keepLines w:val="0"/>
        <w:pageBreakBefore w:val="0"/>
        <w:widowControl w:val="0"/>
        <w:suppressLineNumbers w:val="0"/>
        <w:shd w:val="clear"/>
        <w:kinsoku/>
        <w:wordWrap/>
        <w:overflowPunct/>
        <w:topLinePunct w:val="0"/>
        <w:autoSpaceDE/>
        <w:autoSpaceDN/>
        <w:bidi w:val="0"/>
        <w:adjustRightInd/>
        <w:snapToGrid/>
        <w:spacing w:line="580" w:lineRule="exact"/>
        <w:ind w:firstLine="642" w:firstLineChars="200"/>
        <w:jc w:val="left"/>
        <w:textAlignment w:val="auto"/>
        <w:rPr>
          <w:rFonts w:hint="eastAsia" w:ascii="仿宋_GB2312" w:hAnsi="仿宋_GB2312" w:eastAsia="仿宋_GB2312" w:cs="仿宋_GB2312"/>
          <w:i w:val="0"/>
          <w:iCs w:val="0"/>
          <w:caps w:val="0"/>
          <w:color w:val="000000"/>
          <w:spacing w:val="0"/>
          <w:sz w:val="32"/>
          <w:szCs w:val="32"/>
          <w:highlight w:val="none"/>
          <w:shd w:val="clear" w:fill="FFFFFF"/>
          <w:lang w:val="en-US" w:eastAsia="zh-CN"/>
        </w:rPr>
      </w:pPr>
      <w:r>
        <w:rPr>
          <w:rFonts w:hint="eastAsia" w:ascii="楷体_GB2312" w:hAnsi="Times New Roman" w:eastAsia="楷体_GB2312" w:cs="楷体_GB2312"/>
          <w:b/>
          <w:bCs/>
          <w:color w:val="333333"/>
          <w:kern w:val="0"/>
          <w:sz w:val="32"/>
          <w:szCs w:val="32"/>
          <w:highlight w:val="none"/>
          <w:shd w:val="clear" w:color="auto" w:fill="FFFFFF"/>
          <w:lang w:val="en-US" w:eastAsia="zh-CN" w:bidi="ar"/>
        </w:rPr>
        <w:t>（二）资格初审。</w:t>
      </w:r>
      <w:r>
        <w:rPr>
          <w:rFonts w:hint="eastAsia" w:ascii="仿宋_GB2312" w:hAnsi="仿宋_GB2312" w:eastAsia="仿宋_GB2312" w:cs="仿宋_GB2312"/>
          <w:i w:val="0"/>
          <w:iCs w:val="0"/>
          <w:caps w:val="0"/>
          <w:color w:val="000000"/>
          <w:spacing w:val="0"/>
          <w:sz w:val="32"/>
          <w:szCs w:val="32"/>
          <w:highlight w:val="none"/>
          <w:shd w:val="clear" w:fill="FFFFFF"/>
          <w:lang w:val="en-US" w:eastAsia="zh-CN"/>
        </w:rPr>
        <w:t>对各地区已推荐的优秀成果案例，由市工信局通过已采购的综合服务机构进行初审。</w:t>
      </w:r>
    </w:p>
    <w:p>
      <w:pPr>
        <w:keepNext w:val="0"/>
        <w:keepLines w:val="0"/>
        <w:pageBreakBefore w:val="0"/>
        <w:widowControl w:val="0"/>
        <w:suppressLineNumbers w:val="0"/>
        <w:shd w:val="clear"/>
        <w:kinsoku/>
        <w:wordWrap/>
        <w:overflowPunct/>
        <w:topLinePunct w:val="0"/>
        <w:autoSpaceDE/>
        <w:autoSpaceDN/>
        <w:bidi w:val="0"/>
        <w:adjustRightInd/>
        <w:snapToGrid/>
        <w:spacing w:line="580" w:lineRule="exact"/>
        <w:ind w:firstLine="642" w:firstLineChars="200"/>
        <w:jc w:val="left"/>
        <w:textAlignment w:val="auto"/>
        <w:rPr>
          <w:rFonts w:hint="eastAsia" w:ascii="仿宋_GB2312" w:hAnsi="仿宋_GB2312" w:eastAsia="仿宋_GB2312" w:cs="仿宋_GB2312"/>
          <w:i w:val="0"/>
          <w:iCs w:val="0"/>
          <w:caps w:val="0"/>
          <w:color w:val="000000"/>
          <w:spacing w:val="0"/>
          <w:sz w:val="32"/>
          <w:szCs w:val="32"/>
          <w:highlight w:val="none"/>
          <w:shd w:val="clear" w:fill="FFFFFF"/>
          <w:lang w:val="en-US" w:eastAsia="zh-CN"/>
        </w:rPr>
      </w:pPr>
      <w:r>
        <w:rPr>
          <w:rFonts w:ascii="楷体_GB2312" w:hAnsi="Times New Roman" w:eastAsia="楷体_GB2312" w:cs="楷体_GB2312"/>
          <w:b/>
          <w:bCs/>
          <w:color w:val="333333"/>
          <w:kern w:val="0"/>
          <w:sz w:val="32"/>
          <w:szCs w:val="32"/>
          <w:highlight w:val="none"/>
          <w:shd w:val="clear" w:color="auto" w:fill="FFFFFF"/>
          <w:lang w:val="en-US" w:eastAsia="zh-CN" w:bidi="ar"/>
        </w:rPr>
        <w:t>（</w:t>
      </w:r>
      <w:r>
        <w:rPr>
          <w:rFonts w:hint="eastAsia" w:ascii="楷体_GB2312" w:hAnsi="Times New Roman" w:eastAsia="楷体_GB2312" w:cs="楷体_GB2312"/>
          <w:b/>
          <w:bCs/>
          <w:color w:val="333333"/>
          <w:kern w:val="0"/>
          <w:sz w:val="32"/>
          <w:szCs w:val="32"/>
          <w:highlight w:val="none"/>
          <w:shd w:val="clear" w:color="auto" w:fill="FFFFFF"/>
          <w:lang w:val="en-US" w:eastAsia="zh-CN" w:bidi="ar"/>
        </w:rPr>
        <w:t>三</w:t>
      </w:r>
      <w:r>
        <w:rPr>
          <w:rFonts w:ascii="楷体_GB2312" w:hAnsi="Times New Roman" w:eastAsia="楷体_GB2312" w:cs="楷体_GB2312"/>
          <w:b/>
          <w:bCs/>
          <w:color w:val="333333"/>
          <w:kern w:val="0"/>
          <w:sz w:val="32"/>
          <w:szCs w:val="32"/>
          <w:highlight w:val="none"/>
          <w:shd w:val="clear" w:color="auto" w:fill="FFFFFF"/>
          <w:lang w:val="en-US" w:eastAsia="zh-CN" w:bidi="ar"/>
        </w:rPr>
        <w:t>）</w:t>
      </w:r>
      <w:r>
        <w:rPr>
          <w:rFonts w:hint="eastAsia" w:ascii="楷体_GB2312" w:hAnsi="Times New Roman" w:eastAsia="楷体_GB2312" w:cs="楷体_GB2312"/>
          <w:b/>
          <w:bCs/>
          <w:color w:val="333333"/>
          <w:kern w:val="0"/>
          <w:sz w:val="32"/>
          <w:szCs w:val="32"/>
          <w:highlight w:val="none"/>
          <w:shd w:val="clear" w:color="auto" w:fill="FFFFFF"/>
          <w:lang w:val="en-US" w:eastAsia="zh-CN" w:bidi="ar"/>
        </w:rPr>
        <w:t>专家</w:t>
      </w:r>
      <w:r>
        <w:rPr>
          <w:rFonts w:ascii="楷体_GB2312" w:hAnsi="Times New Roman" w:eastAsia="楷体_GB2312" w:cs="楷体_GB2312"/>
          <w:b/>
          <w:bCs/>
          <w:color w:val="333333"/>
          <w:kern w:val="0"/>
          <w:sz w:val="32"/>
          <w:szCs w:val="32"/>
          <w:highlight w:val="none"/>
          <w:shd w:val="clear" w:color="auto" w:fill="FFFFFF"/>
          <w:lang w:val="en-US" w:eastAsia="zh-CN" w:bidi="ar"/>
        </w:rPr>
        <w:t>评</w:t>
      </w:r>
      <w:r>
        <w:rPr>
          <w:rFonts w:hint="eastAsia" w:ascii="楷体_GB2312" w:hAnsi="Times New Roman" w:eastAsia="楷体_GB2312" w:cs="楷体_GB2312"/>
          <w:b/>
          <w:bCs/>
          <w:color w:val="333333"/>
          <w:kern w:val="0"/>
          <w:sz w:val="32"/>
          <w:szCs w:val="32"/>
          <w:highlight w:val="none"/>
          <w:shd w:val="clear" w:color="auto" w:fill="FFFFFF"/>
          <w:lang w:val="en-US" w:eastAsia="zh-CN" w:bidi="ar"/>
        </w:rPr>
        <w:t>议</w:t>
      </w:r>
      <w:r>
        <w:rPr>
          <w:rFonts w:ascii="楷体_GB2312" w:hAnsi="Times New Roman" w:eastAsia="楷体_GB2312" w:cs="楷体_GB2312"/>
          <w:b/>
          <w:bCs/>
          <w:color w:val="333333"/>
          <w:kern w:val="0"/>
          <w:sz w:val="32"/>
          <w:szCs w:val="32"/>
          <w:highlight w:val="none"/>
          <w:shd w:val="clear" w:color="auto" w:fill="FFFFFF"/>
          <w:lang w:val="en-US" w:eastAsia="zh-CN" w:bidi="ar"/>
        </w:rPr>
        <w:t>。</w:t>
      </w:r>
      <w:r>
        <w:rPr>
          <w:rFonts w:hint="eastAsia" w:ascii="仿宋_GB2312" w:hAnsi="仿宋_GB2312" w:eastAsia="仿宋_GB2312" w:cs="仿宋_GB2312"/>
          <w:i w:val="0"/>
          <w:iCs w:val="0"/>
          <w:caps w:val="0"/>
          <w:color w:val="000000"/>
          <w:spacing w:val="0"/>
          <w:sz w:val="32"/>
          <w:szCs w:val="32"/>
          <w:highlight w:val="none"/>
          <w:shd w:val="clear" w:fill="FFFFFF"/>
          <w:lang w:val="en-US" w:eastAsia="zh-CN"/>
        </w:rPr>
        <w:t>由市工信局</w:t>
      </w:r>
      <w:r>
        <w:rPr>
          <w:rFonts w:hint="default" w:ascii="仿宋_GB2312" w:hAnsi="仿宋_GB2312" w:eastAsia="仿宋_GB2312" w:cs="仿宋_GB2312"/>
          <w:i w:val="0"/>
          <w:iCs w:val="0"/>
          <w:caps w:val="0"/>
          <w:color w:val="000000"/>
          <w:spacing w:val="0"/>
          <w:sz w:val="32"/>
          <w:szCs w:val="32"/>
          <w:highlight w:val="none"/>
          <w:shd w:val="clear" w:fill="FFFFFF"/>
          <w:lang w:val="en-US" w:eastAsia="zh-CN"/>
        </w:rPr>
        <w:t>按照有关规定</w:t>
      </w:r>
      <w:r>
        <w:rPr>
          <w:rFonts w:hint="eastAsia" w:ascii="仿宋_GB2312" w:hAnsi="仿宋_GB2312" w:eastAsia="仿宋_GB2312" w:cs="仿宋_GB2312"/>
          <w:i w:val="0"/>
          <w:iCs w:val="0"/>
          <w:caps w:val="0"/>
          <w:color w:val="000000"/>
          <w:spacing w:val="0"/>
          <w:sz w:val="32"/>
          <w:szCs w:val="32"/>
          <w:highlight w:val="none"/>
          <w:shd w:val="clear" w:fill="FFFFFF"/>
          <w:lang w:val="en-US" w:eastAsia="zh-CN"/>
        </w:rPr>
        <w:t>对申报主体和材料进行符合性审查，并遵循公平、公正原则，上报专家委员会进行评议</w:t>
      </w:r>
      <w:r>
        <w:rPr>
          <w:rFonts w:hint="default" w:ascii="仿宋_GB2312" w:hAnsi="仿宋_GB2312" w:eastAsia="仿宋_GB2312" w:cs="仿宋_GB2312"/>
          <w:i w:val="0"/>
          <w:iCs w:val="0"/>
          <w:caps w:val="0"/>
          <w:color w:val="000000"/>
          <w:spacing w:val="0"/>
          <w:sz w:val="32"/>
          <w:szCs w:val="32"/>
          <w:highlight w:val="none"/>
          <w:shd w:val="clear" w:fill="FFFFFF"/>
          <w:lang w:val="en-US" w:eastAsia="zh-CN"/>
        </w:rPr>
        <w:t>。</w:t>
      </w:r>
    </w:p>
    <w:p>
      <w:pPr>
        <w:pStyle w:val="12"/>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80" w:lineRule="exact"/>
        <w:ind w:left="0" w:leftChars="0" w:right="0" w:rightChars="0" w:firstLine="642" w:firstLineChars="200"/>
        <w:textAlignment w:val="auto"/>
        <w:outlineLvl w:val="0"/>
        <w:rPr>
          <w:rFonts w:hint="default" w:ascii="仿宋_GB2312" w:hAnsi="仿宋_GB2312" w:eastAsia="仿宋_GB2312" w:cs="仿宋_GB2312"/>
          <w:i w:val="0"/>
          <w:iCs w:val="0"/>
          <w:caps w:val="0"/>
          <w:color w:val="000000"/>
          <w:spacing w:val="0"/>
          <w:kern w:val="2"/>
          <w:sz w:val="32"/>
          <w:szCs w:val="32"/>
          <w:highlight w:val="none"/>
          <w:shd w:val="clear" w:fill="FFFFFF"/>
          <w:lang w:val="en-US" w:eastAsia="zh-CN" w:bidi="ar-SA"/>
        </w:rPr>
      </w:pPr>
      <w:r>
        <w:rPr>
          <w:rFonts w:ascii="楷体_GB2312" w:hAnsi="Times New Roman" w:eastAsia="楷体_GB2312" w:cs="楷体_GB2312"/>
          <w:b/>
          <w:bCs/>
          <w:color w:val="333333"/>
          <w:sz w:val="32"/>
          <w:szCs w:val="32"/>
          <w:highlight w:val="none"/>
          <w:shd w:val="clear" w:color="auto" w:fill="FFFFFF"/>
        </w:rPr>
        <w:t>（</w:t>
      </w:r>
      <w:r>
        <w:rPr>
          <w:rFonts w:hint="eastAsia" w:ascii="楷体_GB2312" w:hAnsi="Times New Roman" w:eastAsia="楷体_GB2312" w:cs="楷体_GB2312"/>
          <w:b/>
          <w:bCs/>
          <w:color w:val="333333"/>
          <w:sz w:val="32"/>
          <w:szCs w:val="32"/>
          <w:highlight w:val="none"/>
          <w:shd w:val="clear" w:color="auto" w:fill="FFFFFF"/>
          <w:lang w:val="en-US" w:eastAsia="zh-CN"/>
        </w:rPr>
        <w:t>四</w:t>
      </w:r>
      <w:r>
        <w:rPr>
          <w:rFonts w:ascii="楷体_GB2312" w:hAnsi="Times New Roman" w:eastAsia="楷体_GB2312" w:cs="楷体_GB2312"/>
          <w:b/>
          <w:bCs/>
          <w:color w:val="333333"/>
          <w:sz w:val="32"/>
          <w:szCs w:val="32"/>
          <w:highlight w:val="none"/>
          <w:shd w:val="clear" w:color="auto" w:fill="FFFFFF"/>
        </w:rPr>
        <w:t>）</w:t>
      </w:r>
      <w:r>
        <w:rPr>
          <w:rFonts w:hint="eastAsia" w:ascii="楷体_GB2312" w:hAnsi="Times New Roman" w:eastAsia="楷体_GB2312" w:cs="楷体_GB2312"/>
          <w:b/>
          <w:bCs/>
          <w:color w:val="333333"/>
          <w:sz w:val="32"/>
          <w:szCs w:val="32"/>
          <w:highlight w:val="none"/>
          <w:shd w:val="clear" w:color="auto" w:fill="FFFFFF"/>
          <w:lang w:val="en-US" w:eastAsia="zh-CN"/>
        </w:rPr>
        <w:t>资金拨付</w:t>
      </w:r>
      <w:r>
        <w:rPr>
          <w:rFonts w:ascii="楷体_GB2312" w:hAnsi="Times New Roman" w:eastAsia="楷体_GB2312" w:cs="楷体_GB2312"/>
          <w:b/>
          <w:bCs/>
          <w:color w:val="333333"/>
          <w:sz w:val="32"/>
          <w:szCs w:val="32"/>
          <w:highlight w:val="none"/>
          <w:shd w:val="clear" w:color="auto" w:fill="FFFFFF"/>
        </w:rPr>
        <w:t>。</w:t>
      </w:r>
      <w:r>
        <w:rPr>
          <w:rFonts w:hint="eastAsia" w:ascii="仿宋_GB2312" w:hAnsi="仿宋_GB2312" w:eastAsia="仿宋_GB2312" w:cs="仿宋_GB2312"/>
          <w:i w:val="0"/>
          <w:iCs w:val="0"/>
          <w:caps w:val="0"/>
          <w:color w:val="000000"/>
          <w:spacing w:val="0"/>
          <w:kern w:val="2"/>
          <w:sz w:val="32"/>
          <w:szCs w:val="32"/>
          <w:highlight w:val="none"/>
          <w:shd w:val="clear" w:fill="FFFFFF"/>
          <w:lang w:val="en-US" w:eastAsia="zh-CN" w:bidi="ar-SA"/>
        </w:rPr>
        <w:t>由市工信局将拟入选的优秀案例名单进行公示。公示无异议后，待市财政局将专项资金拨款下达至市工信局后，由市工信局负责将专项资金拨付至优秀案例企业。</w:t>
      </w:r>
    </w:p>
    <w:p>
      <w:pPr>
        <w:keepNext w:val="0"/>
        <w:keepLines w:val="0"/>
        <w:pageBreakBefore w:val="0"/>
        <w:widowControl w:val="0"/>
        <w:kinsoku/>
        <w:wordWrap/>
        <w:overflowPunct/>
        <w:topLinePunct w:val="0"/>
        <w:bidi w:val="0"/>
        <w:spacing w:line="560" w:lineRule="exact"/>
        <w:ind w:firstLine="420" w:firstLineChars="200"/>
        <w:textAlignment w:val="auto"/>
        <w:rPr>
          <w:rFonts w:hint="eastAsia"/>
          <w:highlight w:val="none"/>
          <w:lang w:val="en-US" w:eastAsia="zh-CN"/>
        </w:rPr>
      </w:pPr>
      <w:bookmarkStart w:id="0" w:name="_GoBack"/>
      <w:bookmarkEnd w:id="0"/>
    </w:p>
    <w:sectPr>
      <w:footerReference r:id="rId3" w:type="default"/>
      <w:pgSz w:w="11906" w:h="16838"/>
      <w:pgMar w:top="1474" w:right="1474" w:bottom="147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Microsoft YaHei UI">
    <w:altName w:val="Droid Sans Fallback"/>
    <w:panose1 w:val="020B0503020204020204"/>
    <w:charset w:val="86"/>
    <w:family w:val="swiss"/>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PingFang SC">
    <w:altName w:val="Noto Sans Mono CJK HK"/>
    <w:panose1 w:val="020B0400000000000000"/>
    <w:charset w:val="86"/>
    <w:family w:val="auto"/>
    <w:pitch w:val="default"/>
    <w:sig w:usb0="00000000" w:usb1="00000000" w:usb2="00000017" w:usb3="00000000" w:csb0="00040001"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Segoe UI Symbol">
    <w:altName w:val="Noto Sans"/>
    <w:panose1 w:val="020B0502040204020203"/>
    <w:charset w:val="00"/>
    <w:family w:val="swiss"/>
    <w:pitch w:val="default"/>
    <w:sig w:usb0="00000000" w:usb1="00000000" w:usb2="00040000" w:usb3="04000000" w:csb0="00000001" w:csb1="40000000"/>
  </w:font>
  <w:font w:name="方正书宋_GBK">
    <w:panose1 w:val="02000000000000000000"/>
    <w:charset w:val="86"/>
    <w:family w:val="auto"/>
    <w:pitch w:val="default"/>
    <w:sig w:usb0="00000001" w:usb1="08000000" w:usb2="00000000" w:usb3="00000000" w:csb0="00040000"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方正宋体S-超大字符集">
    <w:panose1 w:val="02000000000000000000"/>
    <w:charset w:val="86"/>
    <w:family w:val="auto"/>
    <w:pitch w:val="default"/>
    <w:sig w:usb0="00000001" w:usb1="08000000" w:usb2="00000000" w:usb3="00000000" w:csb0="00040000" w:csb1="00000000"/>
  </w:font>
  <w:font w:name="Noto Sans">
    <w:panose1 w:val="020B0502040504020204"/>
    <w:charset w:val="00"/>
    <w:family w:val="auto"/>
    <w:pitch w:val="default"/>
    <w:sig w:usb0="E00002FF" w:usb1="00000000" w:usb2="00000000" w:usb3="00000000" w:csb0="2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9eAycdAgAAKwQAAA4AAAAAAAAAAQAgAAAANQEAAGRycy9lMm9Eb2MueG1sUEsF&#10;BgAAAAAGAAYAWQEAAMQFAAAAAA==&#10;">
              <v:fill on="f" focussize="0,0"/>
              <v:stroke on="f" weight="0.5pt"/>
              <v:imagedata o:title=""/>
              <o:lock v:ext="edit" aspectratio="f"/>
              <v:textbox inset="0mm,0mm,0mm,0mm" style="mso-fit-shape-to-text:t;">
                <w:txbxContent>
                  <w:p>
                    <w:pPr>
                      <w:pStyle w:val="9"/>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NiYTc1MGI5NTU3NDMzNTQ5NTYyNWJkOTFiOGQ2OWIifQ=="/>
  </w:docVars>
  <w:rsids>
    <w:rsidRoot w:val="00CA0870"/>
    <w:rsid w:val="0031646B"/>
    <w:rsid w:val="006F700D"/>
    <w:rsid w:val="007F5457"/>
    <w:rsid w:val="00B549AD"/>
    <w:rsid w:val="00CA0870"/>
    <w:rsid w:val="00D17883"/>
    <w:rsid w:val="0127533C"/>
    <w:rsid w:val="01B34E22"/>
    <w:rsid w:val="01D1738B"/>
    <w:rsid w:val="0241242E"/>
    <w:rsid w:val="024578B8"/>
    <w:rsid w:val="024702CC"/>
    <w:rsid w:val="088E7A4F"/>
    <w:rsid w:val="08C33B4E"/>
    <w:rsid w:val="09AA7B69"/>
    <w:rsid w:val="0A4F4FD6"/>
    <w:rsid w:val="0ADB1734"/>
    <w:rsid w:val="0BB542C0"/>
    <w:rsid w:val="0C3607F2"/>
    <w:rsid w:val="0C7B6B27"/>
    <w:rsid w:val="0CC31C91"/>
    <w:rsid w:val="0D7A6136"/>
    <w:rsid w:val="0DB765D4"/>
    <w:rsid w:val="0DB937C0"/>
    <w:rsid w:val="0E3B4132"/>
    <w:rsid w:val="0ED67767"/>
    <w:rsid w:val="0F363106"/>
    <w:rsid w:val="0F3F5F11"/>
    <w:rsid w:val="0FA865E5"/>
    <w:rsid w:val="109776BD"/>
    <w:rsid w:val="11CE5360"/>
    <w:rsid w:val="163D6FBE"/>
    <w:rsid w:val="16456719"/>
    <w:rsid w:val="169A48DD"/>
    <w:rsid w:val="189D3BEC"/>
    <w:rsid w:val="18C53CD8"/>
    <w:rsid w:val="19993C89"/>
    <w:rsid w:val="19F65454"/>
    <w:rsid w:val="1A5734C5"/>
    <w:rsid w:val="1AE300CE"/>
    <w:rsid w:val="1AEE42D4"/>
    <w:rsid w:val="1AF6468D"/>
    <w:rsid w:val="1C730FDE"/>
    <w:rsid w:val="1DC987E1"/>
    <w:rsid w:val="1DF81A40"/>
    <w:rsid w:val="1E704474"/>
    <w:rsid w:val="1E9B0CC0"/>
    <w:rsid w:val="1F1A0A31"/>
    <w:rsid w:val="1FFFE032"/>
    <w:rsid w:val="22530F7F"/>
    <w:rsid w:val="240D1EC8"/>
    <w:rsid w:val="24D20F64"/>
    <w:rsid w:val="257D2D13"/>
    <w:rsid w:val="25BFB5B7"/>
    <w:rsid w:val="26062A00"/>
    <w:rsid w:val="265A210C"/>
    <w:rsid w:val="26AA735C"/>
    <w:rsid w:val="26C8461C"/>
    <w:rsid w:val="27B611C3"/>
    <w:rsid w:val="29D58E01"/>
    <w:rsid w:val="2A3A40F0"/>
    <w:rsid w:val="2BB33634"/>
    <w:rsid w:val="2C22657D"/>
    <w:rsid w:val="2C363B4E"/>
    <w:rsid w:val="2CE90E48"/>
    <w:rsid w:val="2DC3390D"/>
    <w:rsid w:val="309F8CE6"/>
    <w:rsid w:val="30EE7997"/>
    <w:rsid w:val="31E5172B"/>
    <w:rsid w:val="32F7028D"/>
    <w:rsid w:val="358E6A31"/>
    <w:rsid w:val="35EF5721"/>
    <w:rsid w:val="35F3FFF0"/>
    <w:rsid w:val="360D204B"/>
    <w:rsid w:val="3636602A"/>
    <w:rsid w:val="36683628"/>
    <w:rsid w:val="37D55D7B"/>
    <w:rsid w:val="37E93071"/>
    <w:rsid w:val="381615EC"/>
    <w:rsid w:val="3871233E"/>
    <w:rsid w:val="3908377C"/>
    <w:rsid w:val="3AA65ADC"/>
    <w:rsid w:val="3B2D5695"/>
    <w:rsid w:val="3B6202AA"/>
    <w:rsid w:val="3CE60F00"/>
    <w:rsid w:val="3D8C258A"/>
    <w:rsid w:val="3EFCB761"/>
    <w:rsid w:val="3FD7FB92"/>
    <w:rsid w:val="40012D33"/>
    <w:rsid w:val="403A3642"/>
    <w:rsid w:val="41E01221"/>
    <w:rsid w:val="422B001A"/>
    <w:rsid w:val="423F4ADE"/>
    <w:rsid w:val="42F64931"/>
    <w:rsid w:val="43673D15"/>
    <w:rsid w:val="43836F31"/>
    <w:rsid w:val="45CAFB81"/>
    <w:rsid w:val="46FF778E"/>
    <w:rsid w:val="48B002C0"/>
    <w:rsid w:val="494126D7"/>
    <w:rsid w:val="4A2177DD"/>
    <w:rsid w:val="4AC56836"/>
    <w:rsid w:val="4E2258F5"/>
    <w:rsid w:val="4E4B56A4"/>
    <w:rsid w:val="4EE17503"/>
    <w:rsid w:val="5039786D"/>
    <w:rsid w:val="532A525B"/>
    <w:rsid w:val="53D007D6"/>
    <w:rsid w:val="546203C4"/>
    <w:rsid w:val="551967B9"/>
    <w:rsid w:val="56852E37"/>
    <w:rsid w:val="56D4908C"/>
    <w:rsid w:val="572E06A4"/>
    <w:rsid w:val="574879CF"/>
    <w:rsid w:val="58104593"/>
    <w:rsid w:val="5984326B"/>
    <w:rsid w:val="5A1B2858"/>
    <w:rsid w:val="5AA601F5"/>
    <w:rsid w:val="5BE18154"/>
    <w:rsid w:val="5CA04D49"/>
    <w:rsid w:val="5CBD1AD5"/>
    <w:rsid w:val="5D1D4F2F"/>
    <w:rsid w:val="5D445AA3"/>
    <w:rsid w:val="5D604327"/>
    <w:rsid w:val="5DFD4B80"/>
    <w:rsid w:val="5EDA7BC6"/>
    <w:rsid w:val="5EDB278E"/>
    <w:rsid w:val="60304E0F"/>
    <w:rsid w:val="60771CEC"/>
    <w:rsid w:val="61682922"/>
    <w:rsid w:val="61FB54D1"/>
    <w:rsid w:val="633A28ED"/>
    <w:rsid w:val="63FF0976"/>
    <w:rsid w:val="64617E34"/>
    <w:rsid w:val="64E831B8"/>
    <w:rsid w:val="65D7B63C"/>
    <w:rsid w:val="67A24F14"/>
    <w:rsid w:val="69D340F2"/>
    <w:rsid w:val="6AE829CA"/>
    <w:rsid w:val="6B9D2F4E"/>
    <w:rsid w:val="6C110BB0"/>
    <w:rsid w:val="6E0C5AD4"/>
    <w:rsid w:val="6E0E31A7"/>
    <w:rsid w:val="6E1B63AC"/>
    <w:rsid w:val="6E8A705B"/>
    <w:rsid w:val="6E9FFDEB"/>
    <w:rsid w:val="6EA840E4"/>
    <w:rsid w:val="6EC95E08"/>
    <w:rsid w:val="6EE668F9"/>
    <w:rsid w:val="6FDA2B9B"/>
    <w:rsid w:val="6FF375E1"/>
    <w:rsid w:val="6FFD80BB"/>
    <w:rsid w:val="70980188"/>
    <w:rsid w:val="71D11979"/>
    <w:rsid w:val="71E5FE93"/>
    <w:rsid w:val="750C7417"/>
    <w:rsid w:val="75CC45CC"/>
    <w:rsid w:val="762630F7"/>
    <w:rsid w:val="76441033"/>
    <w:rsid w:val="76466414"/>
    <w:rsid w:val="76C83B32"/>
    <w:rsid w:val="77162CCA"/>
    <w:rsid w:val="77366F96"/>
    <w:rsid w:val="779DA8D8"/>
    <w:rsid w:val="7A0F61CE"/>
    <w:rsid w:val="7AAF05A8"/>
    <w:rsid w:val="7ADD5CE3"/>
    <w:rsid w:val="7B1EAA01"/>
    <w:rsid w:val="7BD1C72F"/>
    <w:rsid w:val="7BFFD7C5"/>
    <w:rsid w:val="7C4D40ED"/>
    <w:rsid w:val="7D2FC8D1"/>
    <w:rsid w:val="7D5FCBE0"/>
    <w:rsid w:val="7D695EE3"/>
    <w:rsid w:val="7DD75DB2"/>
    <w:rsid w:val="7E4B656A"/>
    <w:rsid w:val="7E7C1AA8"/>
    <w:rsid w:val="7E7F2064"/>
    <w:rsid w:val="7EDDBBD3"/>
    <w:rsid w:val="7F34107C"/>
    <w:rsid w:val="7F9F7204"/>
    <w:rsid w:val="7FD64407"/>
    <w:rsid w:val="7FDF7CA7"/>
    <w:rsid w:val="7FE9B16C"/>
    <w:rsid w:val="7FFF4AD3"/>
    <w:rsid w:val="7FFFFC04"/>
    <w:rsid w:val="87DFAD7F"/>
    <w:rsid w:val="8DEF63FF"/>
    <w:rsid w:val="9BFFB70C"/>
    <w:rsid w:val="A3A35B3F"/>
    <w:rsid w:val="A6F937F8"/>
    <w:rsid w:val="AE5F2F76"/>
    <w:rsid w:val="B2F586CA"/>
    <w:rsid w:val="BF7FDD24"/>
    <w:rsid w:val="BFDE0C92"/>
    <w:rsid w:val="C7E7EDAC"/>
    <w:rsid w:val="C971C83B"/>
    <w:rsid w:val="CC7B43F7"/>
    <w:rsid w:val="CF1F2B4B"/>
    <w:rsid w:val="CFF6FE75"/>
    <w:rsid w:val="D2FB3371"/>
    <w:rsid w:val="DCA9D2D8"/>
    <w:rsid w:val="E5FEEB4F"/>
    <w:rsid w:val="E9AF8B9A"/>
    <w:rsid w:val="EFBF4179"/>
    <w:rsid w:val="EFBFAD2B"/>
    <w:rsid w:val="EFC37EFF"/>
    <w:rsid w:val="EFFE6BF7"/>
    <w:rsid w:val="F1EF9543"/>
    <w:rsid w:val="F2DA2B0B"/>
    <w:rsid w:val="F39FADF9"/>
    <w:rsid w:val="F3F78041"/>
    <w:rsid w:val="F4BEE7BE"/>
    <w:rsid w:val="F57D40EE"/>
    <w:rsid w:val="F65F9965"/>
    <w:rsid w:val="F6BF664D"/>
    <w:rsid w:val="F6FE49BE"/>
    <w:rsid w:val="F7AB7812"/>
    <w:rsid w:val="F7F1AA50"/>
    <w:rsid w:val="FA46F536"/>
    <w:rsid w:val="FAE7F709"/>
    <w:rsid w:val="FB562118"/>
    <w:rsid w:val="FBF78E70"/>
    <w:rsid w:val="FBF7F343"/>
    <w:rsid w:val="FCDFC686"/>
    <w:rsid w:val="FDBFEC15"/>
    <w:rsid w:val="FDF7693B"/>
    <w:rsid w:val="FEDBAA19"/>
    <w:rsid w:val="FEDFBBB9"/>
    <w:rsid w:val="FEF975EC"/>
    <w:rsid w:val="FEFFE921"/>
    <w:rsid w:val="FF7B9AEA"/>
    <w:rsid w:val="FF7F22CD"/>
    <w:rsid w:val="FFE93B7F"/>
    <w:rsid w:val="FFEBDFDE"/>
    <w:rsid w:val="FFEE48A0"/>
    <w:rsid w:val="FFEF79F6"/>
    <w:rsid w:val="FFF3D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3"/>
    <w:qFormat/>
    <w:uiPriority w:val="99"/>
    <w:pPr>
      <w:ind w:firstLine="420" w:firstLineChars="200"/>
    </w:pPr>
    <w:rPr>
      <w:rFonts w:eastAsia="仿宋"/>
      <w:sz w:val="32"/>
    </w:rPr>
  </w:style>
  <w:style w:type="paragraph" w:styleId="3">
    <w:name w:val="index 5"/>
    <w:basedOn w:val="1"/>
    <w:next w:val="1"/>
    <w:qFormat/>
    <w:uiPriority w:val="0"/>
    <w:pPr>
      <w:ind w:left="1680"/>
    </w:pPr>
    <w:rPr>
      <w:rFonts w:ascii="Calibri" w:hAnsi="Calibri" w:eastAsia="宋体" w:cs="Times New Roman"/>
      <w:sz w:val="21"/>
    </w:rPr>
  </w:style>
  <w:style w:type="paragraph" w:styleId="4">
    <w:name w:val="Document Map"/>
    <w:basedOn w:val="1"/>
    <w:next w:val="1"/>
    <w:qFormat/>
    <w:uiPriority w:val="0"/>
    <w:rPr>
      <w:rFonts w:ascii="Microsoft YaHei UI" w:eastAsia="Microsoft YaHei UI"/>
      <w:sz w:val="18"/>
      <w:szCs w:val="18"/>
    </w:rPr>
  </w:style>
  <w:style w:type="paragraph" w:styleId="5">
    <w:name w:val="annotation text"/>
    <w:basedOn w:val="1"/>
    <w:semiHidden/>
    <w:unhideWhenUsed/>
    <w:qFormat/>
    <w:uiPriority w:val="99"/>
    <w:pPr>
      <w:jc w:val="left"/>
    </w:pPr>
  </w:style>
  <w:style w:type="paragraph" w:styleId="6">
    <w:name w:val="Body Text"/>
    <w:basedOn w:val="1"/>
    <w:next w:val="7"/>
    <w:qFormat/>
    <w:uiPriority w:val="0"/>
    <w:pPr>
      <w:spacing w:before="0" w:after="140" w:line="276" w:lineRule="auto"/>
    </w:pPr>
  </w:style>
  <w:style w:type="paragraph" w:styleId="7">
    <w:name w:val="Body Text First Indent 2"/>
    <w:basedOn w:val="8"/>
    <w:next w:val="8"/>
    <w:qFormat/>
    <w:uiPriority w:val="0"/>
    <w:pPr>
      <w:spacing w:after="120"/>
      <w:ind w:left="420" w:leftChars="200" w:firstLine="420" w:firstLineChars="200"/>
    </w:pPr>
    <w:rPr>
      <w:rFonts w:ascii="Times New Roman" w:hAnsi="Times New Roman" w:eastAsia="宋体" w:cs="Times New Roman"/>
      <w:sz w:val="21"/>
      <w:szCs w:val="21"/>
    </w:rPr>
  </w:style>
  <w:style w:type="paragraph" w:styleId="8">
    <w:name w:val="Body Text Indent"/>
    <w:basedOn w:val="1"/>
    <w:next w:val="2"/>
    <w:qFormat/>
    <w:uiPriority w:val="0"/>
    <w:pPr>
      <w:ind w:firstLine="540" w:firstLineChars="180"/>
    </w:pPr>
    <w:rPr>
      <w:rFonts w:ascii="仿宋_GB2312" w:eastAsia="仿宋_GB2312"/>
      <w:sz w:val="30"/>
    </w:rPr>
  </w:style>
  <w:style w:type="paragraph" w:styleId="9">
    <w:name w:val="footer"/>
    <w:basedOn w:val="1"/>
    <w:qFormat/>
    <w:uiPriority w:val="99"/>
    <w:pPr>
      <w:tabs>
        <w:tab w:val="center" w:pos="4153"/>
        <w:tab w:val="right" w:pos="8306"/>
      </w:tabs>
      <w:spacing w:line="240" w:lineRule="atLeast"/>
      <w:jc w:val="left"/>
    </w:pPr>
    <w:rPr>
      <w:sz w:val="18"/>
      <w:szCs w:val="18"/>
    </w:rPr>
  </w:style>
  <w:style w:type="paragraph" w:styleId="10">
    <w:name w:val="header"/>
    <w:basedOn w:val="1"/>
    <w:qFormat/>
    <w:uiPriority w:val="0"/>
    <w:pPr>
      <w:pBdr>
        <w:bottom w:val="single" w:color="auto" w:sz="6" w:space="1"/>
      </w:pBdr>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2">
    <w:name w:val="Normal (Web)"/>
    <w:basedOn w:val="1"/>
    <w:qFormat/>
    <w:uiPriority w:val="0"/>
    <w:pPr>
      <w:spacing w:before="100" w:beforeAutospacing="1" w:after="100" w:afterAutospacing="1"/>
      <w:jc w:val="left"/>
    </w:pPr>
    <w:rPr>
      <w:kern w:val="0"/>
      <w:sz w:val="24"/>
    </w:rPr>
  </w:style>
  <w:style w:type="paragraph" w:styleId="13">
    <w:name w:val="Title"/>
    <w:basedOn w:val="1"/>
    <w:next w:val="1"/>
    <w:qFormat/>
    <w:uiPriority w:val="0"/>
    <w:pPr>
      <w:spacing w:line="240" w:lineRule="auto"/>
      <w:ind w:firstLine="0" w:firstLineChars="0"/>
      <w:jc w:val="center"/>
      <w:outlineLvl w:val="0"/>
    </w:pPr>
    <w:rPr>
      <w:rFonts w:eastAsia="方正小标宋简体" w:cstheme="majorBidi"/>
      <w:b/>
      <w:bCs/>
      <w:sz w:val="44"/>
      <w:szCs w:val="32"/>
    </w:rPr>
  </w:style>
  <w:style w:type="paragraph" w:styleId="14">
    <w:name w:val="Body Text First Indent"/>
    <w:qFormat/>
    <w:uiPriority w:val="0"/>
    <w:pPr>
      <w:widowControl w:val="0"/>
      <w:spacing w:line="620" w:lineRule="exact"/>
      <w:ind w:firstLine="420"/>
      <w:jc w:val="both"/>
    </w:pPr>
    <w:rPr>
      <w:rFonts w:ascii="Calibri" w:hAnsi="Calibri" w:eastAsia="仿宋_GB2312" w:cs="Times New Roman"/>
      <w:b/>
      <w:bCs/>
      <w:kern w:val="2"/>
      <w:sz w:val="32"/>
      <w:szCs w:val="24"/>
      <w:lang w:val="en-US" w:eastAsia="zh-CN" w:bidi="ar-SA"/>
    </w:rPr>
  </w:style>
  <w:style w:type="table" w:styleId="1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Emphasis"/>
    <w:basedOn w:val="17"/>
    <w:qFormat/>
    <w:uiPriority w:val="20"/>
    <w:rPr>
      <w:i/>
    </w:rPr>
  </w:style>
  <w:style w:type="character" w:styleId="20">
    <w:name w:val="Hyperlink"/>
    <w:basedOn w:val="17"/>
    <w:semiHidden/>
    <w:unhideWhenUsed/>
    <w:qFormat/>
    <w:uiPriority w:val="99"/>
    <w:rPr>
      <w:color w:val="0000FF"/>
      <w:u w:val="single"/>
    </w:rPr>
  </w:style>
  <w:style w:type="paragraph" w:customStyle="1" w:styleId="21">
    <w:name w:val="正文首行缩进1"/>
    <w:basedOn w:val="6"/>
    <w:next w:val="10"/>
    <w:qFormat/>
    <w:uiPriority w:val="0"/>
    <w:pPr>
      <w:autoSpaceDE w:val="0"/>
      <w:autoSpaceDN w:val="0"/>
      <w:adjustRightInd w:val="0"/>
      <w:snapToGrid w:val="0"/>
      <w:spacing w:line="360" w:lineRule="auto"/>
      <w:ind w:firstLine="420" w:firstLineChars="100"/>
      <w:jc w:val="center"/>
    </w:pPr>
    <w:rPr>
      <w:rFonts w:ascii="方正小标宋简体" w:eastAsia="方正小标宋简体"/>
      <w:color w:val="000000"/>
      <w:sz w:val="44"/>
      <w:szCs w:val="20"/>
    </w:rPr>
  </w:style>
  <w:style w:type="paragraph" w:customStyle="1" w:styleId="22">
    <w:name w:val="Table Text"/>
    <w:basedOn w:val="1"/>
    <w:semiHidden/>
    <w:qFormat/>
    <w:uiPriority w:val="0"/>
    <w:rPr>
      <w:rFonts w:ascii="PingFang SC" w:hAnsi="PingFang SC" w:eastAsia="PingFang SC" w:cs="PingFang SC"/>
      <w:sz w:val="20"/>
      <w:szCs w:val="20"/>
      <w:lang w:val="en-US" w:eastAsia="en-US" w:bidi="ar-SA"/>
    </w:rPr>
  </w:style>
  <w:style w:type="table" w:customStyle="1" w:styleId="23">
    <w:name w:val="Table Normal"/>
    <w:semiHidden/>
    <w:unhideWhenUsed/>
    <w:qFormat/>
    <w:uiPriority w:val="0"/>
    <w:tblPr>
      <w:tblCellMar>
        <w:top w:w="0" w:type="dxa"/>
        <w:left w:w="0" w:type="dxa"/>
        <w:bottom w:w="0" w:type="dxa"/>
        <w:right w:w="0" w:type="dxa"/>
      </w:tblCellMar>
    </w:tblPr>
  </w:style>
  <w:style w:type="character" w:customStyle="1" w:styleId="24">
    <w:name w:val="font01"/>
    <w:qFormat/>
    <w:uiPriority w:val="0"/>
    <w:rPr>
      <w:rFonts w:hint="eastAsia" w:ascii="仿宋_GB2312" w:eastAsia="仿宋_GB2312" w:cs="仿宋_GB2312"/>
      <w:color w:val="000000"/>
      <w:sz w:val="21"/>
      <w:szCs w:val="21"/>
      <w:u w:val="none"/>
    </w:rPr>
  </w:style>
  <w:style w:type="paragraph" w:customStyle="1" w:styleId="25">
    <w:name w:val="表格"/>
    <w:basedOn w:val="1"/>
    <w:qFormat/>
    <w:uiPriority w:val="0"/>
    <w:pPr>
      <w:autoSpaceDE w:val="0"/>
      <w:autoSpaceDN w:val="0"/>
      <w:adjustRightInd w:val="0"/>
      <w:spacing w:line="360" w:lineRule="auto"/>
      <w:ind w:firstLine="0" w:firstLineChars="0"/>
    </w:pPr>
    <w:rPr>
      <w:rFonts w:cs="Times New Roman"/>
      <w:kern w:val="0"/>
      <w:sz w:val="20"/>
      <w:szCs w:val="21"/>
    </w:rPr>
  </w:style>
  <w:style w:type="paragraph" w:customStyle="1" w:styleId="26">
    <w:name w:val="列表段落11"/>
    <w:basedOn w:val="1"/>
    <w:qFormat/>
    <w:uiPriority w:val="99"/>
    <w:pPr>
      <w:spacing w:afterLines="50" w:line="240" w:lineRule="auto"/>
      <w:ind w:firstLine="420" w:firstLineChars="200"/>
    </w:pPr>
    <w:rPr>
      <w:rFonts w:ascii="Calibri" w:hAnsi="Calibri" w:eastAsia="宋体" w:cs="Times New Roman"/>
      <w:spacing w:val="0"/>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4576</Words>
  <Characters>5040</Characters>
  <Lines>82</Lines>
  <Paragraphs>42</Paragraphs>
  <TotalTime>215</TotalTime>
  <ScaleCrop>false</ScaleCrop>
  <LinksUpToDate>false</LinksUpToDate>
  <CharactersWithSpaces>5469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2024-10-18T06:15:00Z</dcterms:created>
  <dc:creator>锦谦 孔</dc:creator>
  <cp:lastModifiedBy> </cp:lastModifiedBy>
  <cp:lastPrinted>2025-08-12T23:13:00Z</cp:lastPrinted>
  <dcterms:modified xsi:type="dcterms:W3CDTF">2025-08-12T09:26:08Z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C6B9AF69DC75456DBD1F7DBB63B09B0A_13</vt:lpwstr>
  </property>
  <property fmtid="{D5CDD505-2E9C-101B-9397-08002B2CF9AE}" pid="4" name="KSOTemplateDocerSaveRecord">
    <vt:lpwstr>eyJoZGlkIjoiM2I5YmQ2NjZhZTg2ZDU4ZTE5NzNmYjYyNTA3YTk2OTAiLCJ1c2VySWQiOiI2OTA4MDA1MTYifQ==</vt:lpwstr>
  </property>
</Properties>
</file>